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sz w:val="20"/>
          <w:szCs w:val="20"/>
        </w:rPr>
      </w:pPr>
      <w:bookmarkStart w:colFirst="0" w:colLast="0" w:name="_ujqqz6l49dlp" w:id="0"/>
      <w:bookmarkEnd w:id="0"/>
      <w:r w:rsidDel="00000000" w:rsidR="00000000" w:rsidRPr="00000000">
        <w:rPr>
          <w:b w:val="1"/>
          <w:rtl w:val="0"/>
        </w:rPr>
        <w:t xml:space="preserve">ACV-1 MASTER (PREMIUM)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3543300</wp:posOffset>
            </wp:positionH>
            <wp:positionV relativeFrom="paragraph">
              <wp:posOffset>752475</wp:posOffset>
            </wp:positionV>
            <wp:extent cx="2886075" cy="27432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743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Asador Coriat® ACV-1 Máster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Parrilla reversible de hierro fundido, área útil de: frente: 0.290 m, fondo: 0.540 m.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Capa de piedra refractaria por sección.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Quemador en "U" A.Inox. de 27,500 Btu/h GLP y 30,000 Btu/h GN.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Piloto individual A.Inox. con cabeza roscable tipo hongo.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Válvula de ajuste flama piloto importada, certificada CSA uso comercial.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Válvula de gas importada, certificada CSA uso comercial.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Charola para captar escurrimientos.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Perilla zinc con aislamiento térmico en silicón rojo.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Patas tubulares niveladoras A.Inox.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Medidas exteriores totales sin empaque: frente: 0.299 m, fondo: 0.845 m, altura: 0.490 - 0.540 m.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Peso sin empaque: 37 kg.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Incluye kit de espreas para conversión de gas GLP a GN.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Certificación ANSI Z83.11-2016 • CSA 1.8-2016.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Certificación NSF/ANSI 4 - 2016.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3667125</wp:posOffset>
          </wp:positionH>
          <wp:positionV relativeFrom="paragraph">
            <wp:posOffset>-158161</wp:posOffset>
          </wp:positionV>
          <wp:extent cx="3192651" cy="704396"/>
          <wp:effectExtent b="0" l="0" r="0" t="0"/>
          <wp:wrapSquare wrapText="bothSides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2651" cy="70439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-742949</wp:posOffset>
          </wp:positionH>
          <wp:positionV relativeFrom="paragraph">
            <wp:posOffset>-323849</wp:posOffset>
          </wp:positionV>
          <wp:extent cx="7604504" cy="709613"/>
          <wp:effectExtent b="0" l="0" r="0" t="0"/>
          <wp:wrapNone/>
          <wp:docPr id="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4504" cy="709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