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sz w:val="20"/>
          <w:szCs w:val="20"/>
        </w:rPr>
      </w:pPr>
      <w:bookmarkStart w:colFirst="0" w:colLast="0" w:name="_ujqqz6l49dlp" w:id="0"/>
      <w:bookmarkEnd w:id="0"/>
      <w:r w:rsidDel="00000000" w:rsidR="00000000" w:rsidRPr="00000000">
        <w:rPr>
          <w:b w:val="1"/>
          <w:rtl w:val="0"/>
        </w:rPr>
        <w:t xml:space="preserve">CH-2 PETIT (PREMIUM)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Plancha Coriat® CH-2 Petit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3333750</wp:posOffset>
            </wp:positionH>
            <wp:positionV relativeFrom="paragraph">
              <wp:posOffset>150391</wp:posOffset>
            </wp:positionV>
            <wp:extent cx="3086100" cy="2771775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771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Plancha cold rolled steel 3/4" de espesor, área útil de: frente: 0.586 m, fondo: 0.344 m.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Quemadores en "U" A.Inox. de 14,000 Btu/h c/u.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Pilotos individuales A.Inox. con cabeza roscable tipo hongo.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Válvulas de ajuste flama piloto importadas, certificadas CSA uso comercial.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Válvulas de gas importadas, certificadas CSA uso comercial.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Charola para recolección de grasa.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Perillas zinc con aislamiento térmico en silicón rojo.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Patas tubulares niveladoras A.Inox.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Medidas exteriores totales, sin empaque: frente: 0.590 m, fondo: 0.590 m, altura: 0.490 - 0.540 m.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Peso sin empaque: 54 kg.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Incluye kit de espreas para conversión de gas GLP a GN.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Certificación ANSI Z83.11-2016 • CSA 1.8-2016.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Certificación NSF/ANSI 4 - 2016.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-158161</wp:posOffset>
          </wp:positionV>
          <wp:extent cx="3192651" cy="704396"/>
          <wp:effectExtent b="0" l="0" r="0" t="0"/>
          <wp:wrapSquare wrapText="bothSides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2651" cy="7043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-742949</wp:posOffset>
          </wp:positionH>
          <wp:positionV relativeFrom="paragraph">
            <wp:posOffset>-323849</wp:posOffset>
          </wp:positionV>
          <wp:extent cx="7604504" cy="709613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4504" cy="709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